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1996" w14:textId="77777777" w:rsidR="00032B14" w:rsidRPr="00AC4671" w:rsidRDefault="00032B14" w:rsidP="00032B1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bCs/>
          <w:sz w:val="20"/>
          <w:szCs w:val="20"/>
        </w:rPr>
        <w:t>미가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hint="eastAsia"/>
          <w:sz w:val="20"/>
          <w:szCs w:val="20"/>
        </w:rPr>
        <w:t>5-</w:t>
      </w:r>
      <w:r>
        <w:rPr>
          <w:rFonts w:ascii="NanumGothic" w:eastAsia="NanumGothic" w:hAnsi="NanumGothic"/>
          <w:sz w:val="20"/>
          <w:szCs w:val="20"/>
        </w:rPr>
        <w:t>7</w:t>
      </w:r>
      <w:r w:rsidRPr="00AC4671">
        <w:rPr>
          <w:rFonts w:ascii="NanumGothic" w:eastAsia="NanumGothic" w:hAnsi="NanumGothic" w:hint="eastAsia"/>
          <w:sz w:val="20"/>
          <w:szCs w:val="20"/>
        </w:rPr>
        <w:t>-201</w:t>
      </w:r>
      <w:r>
        <w:rPr>
          <w:rFonts w:ascii="NanumGothic" w:eastAsia="NanumGothic" w:hAnsi="NanumGothic"/>
          <w:sz w:val="20"/>
          <w:szCs w:val="20"/>
        </w:rPr>
        <w:t>8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updated</w:t>
      </w:r>
    </w:p>
    <w:p w14:paraId="41DB7ED6" w14:textId="77777777" w:rsidR="00032B14" w:rsidRPr="00AC4671" w:rsidRDefault="00032B14" w:rsidP="00032B14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1C9DAE96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저자와 기록연대: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미가는 </w:t>
      </w:r>
      <w:r w:rsidRPr="00AC4671">
        <w:rPr>
          <w:rFonts w:ascii="NanumGothic" w:eastAsia="NanumGothic" w:hAnsi="NanumGothic"/>
          <w:sz w:val="20"/>
          <w:szCs w:val="20"/>
        </w:rPr>
        <w:t>‘</w:t>
      </w:r>
      <w:r w:rsidRPr="00AC4671">
        <w:rPr>
          <w:rFonts w:ascii="NanumGothic" w:eastAsia="NanumGothic" w:hAnsi="NanumGothic" w:hint="eastAsia"/>
          <w:sz w:val="20"/>
          <w:szCs w:val="20"/>
        </w:rPr>
        <w:t>누가 여호와와 같은가</w:t>
      </w:r>
      <w:r w:rsidRPr="00AC4671">
        <w:rPr>
          <w:rFonts w:ascii="NanumGothic" w:eastAsia="NanumGothic" w:hAnsi="NanumGothic"/>
          <w:sz w:val="20"/>
          <w:szCs w:val="20"/>
        </w:rPr>
        <w:t>’</w:t>
      </w:r>
      <w:r w:rsidRPr="00AC4671">
        <w:rPr>
          <w:rFonts w:ascii="NanumGothic" w:eastAsia="NanumGothic" w:hAnsi="NanumGothic" w:hint="eastAsia"/>
          <w:sz w:val="20"/>
          <w:szCs w:val="20"/>
        </w:rPr>
        <w:t>(7:18)라는 뜻이다. 선지자 미가에 관해서 알려진 바는 본서 1:1과 예레미야 26:18을 제외하고는 거의 없다. 미가 선지자는 주전 750-686년, 유</w:t>
      </w:r>
      <w:r>
        <w:rPr>
          <w:rFonts w:ascii="NanumGothic" w:eastAsia="NanumGothic" w:hAnsi="NanumGothic" w:hint="eastAsia"/>
          <w:sz w:val="20"/>
          <w:szCs w:val="20"/>
        </w:rPr>
        <w:t>다</w:t>
      </w:r>
      <w:r w:rsidRPr="00AC4671">
        <w:rPr>
          <w:rFonts w:ascii="NanumGothic" w:eastAsia="NanumGothic" w:hAnsi="NanumGothic" w:hint="eastAsia"/>
          <w:sz w:val="20"/>
          <w:szCs w:val="20"/>
        </w:rPr>
        <w:t>의 요담, 아하스 및 히스기야 왕 때에 사역하였고, 이사야 및 호세아 선지자와 동시대 인물이다.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미가서는 주전 700년 경에 기록된 것으로 알려져 있다. </w:t>
      </w:r>
    </w:p>
    <w:p w14:paraId="683F77F9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배경: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본 서의 배경은 이사야 전반부와 같다. 북왕국 이스라엘은 배교 상태에 있었</w:t>
      </w:r>
      <w:r>
        <w:rPr>
          <w:rFonts w:ascii="NanumGothic" w:eastAsia="NanumGothic" w:hAnsi="NanumGothic" w:hint="eastAsia"/>
          <w:sz w:val="20"/>
          <w:szCs w:val="20"/>
        </w:rPr>
        <w:t>으며</w:t>
      </w:r>
      <w:r w:rsidRPr="00AC4671">
        <w:rPr>
          <w:rFonts w:ascii="NanumGothic" w:eastAsia="NanumGothic" w:hAnsi="NanumGothic" w:hint="eastAsia"/>
          <w:sz w:val="20"/>
          <w:szCs w:val="20"/>
        </w:rPr>
        <w:t>, 미가는 그 수도인 사마리아 성이 함락될 것</w:t>
      </w:r>
      <w:r>
        <w:rPr>
          <w:rFonts w:ascii="NanumGothic" w:eastAsia="NanumGothic" w:hAnsi="NanumGothic" w:hint="eastAsia"/>
          <w:sz w:val="20"/>
          <w:szCs w:val="20"/>
        </w:rPr>
        <w:t xml:space="preserve">과 </w:t>
      </w:r>
      <w:r w:rsidRPr="00AC4671">
        <w:rPr>
          <w:rFonts w:ascii="NanumGothic" w:eastAsia="NanumGothic" w:hAnsi="NanumGothic" w:hint="eastAsia"/>
          <w:sz w:val="20"/>
          <w:szCs w:val="20"/>
        </w:rPr>
        <w:t>(1:5-7), 남왕국 유다 마저도 멸망할 것을 예고했다 (1:9-16). 주전 734-732년에 앗수르의 디글랏 블레셀 3세가 아람, 블레셋, 이스라엘과 유다를 침공하였는데, 아람</w:t>
      </w:r>
      <w:r>
        <w:rPr>
          <w:rFonts w:ascii="NanumGothic" w:eastAsia="NanumGothic" w:hAnsi="NanumGothic" w:hint="eastAsia"/>
          <w:sz w:val="20"/>
          <w:szCs w:val="20"/>
        </w:rPr>
        <w:t>과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이스라엘은 각각 주전 732년과 722년에 멸망했다. 주전 701년에 유다는 연합국을 결성하여 앗수르에 반기를 들었지만 산헤립 왕에</w:t>
      </w:r>
      <w:r>
        <w:rPr>
          <w:rFonts w:ascii="NanumGothic" w:eastAsia="NanumGothic" w:hAnsi="NanumGothic" w:hint="eastAsia"/>
          <w:sz w:val="20"/>
          <w:szCs w:val="20"/>
        </w:rPr>
        <w:t>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대패하여 많은 영토를 빼앗겼으나 수도 예루살렘은 멸망을 모면했다. </w:t>
      </w:r>
    </w:p>
    <w:p w14:paraId="65EA703C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미가서는 심판과 회복의 메시지가 교차하면서, 하나님의 </w:t>
      </w:r>
      <w:r w:rsidRPr="00AC4671">
        <w:rPr>
          <w:rFonts w:ascii="NanumGothic" w:eastAsia="NanumGothic" w:hAnsi="NanumGothic"/>
          <w:sz w:val="20"/>
          <w:szCs w:val="20"/>
        </w:rPr>
        <w:t>‘</w:t>
      </w:r>
      <w:r w:rsidRPr="00AC4671">
        <w:rPr>
          <w:rFonts w:ascii="NanumGothic" w:eastAsia="NanumGothic" w:hAnsi="NanumGothic" w:hint="eastAsia"/>
          <w:sz w:val="20"/>
          <w:szCs w:val="20"/>
        </w:rPr>
        <w:t>심판과 용서</w:t>
      </w:r>
      <w:r w:rsidRPr="00AC4671">
        <w:rPr>
          <w:rFonts w:ascii="NanumGothic" w:eastAsia="NanumGothic" w:hAnsi="NanumGothic"/>
          <w:sz w:val="20"/>
          <w:szCs w:val="20"/>
        </w:rPr>
        <w:t>’</w:t>
      </w:r>
      <w:r w:rsidRPr="00AC4671">
        <w:rPr>
          <w:rFonts w:ascii="NanumGothic" w:eastAsia="NanumGothic" w:hAnsi="NanumGothic" w:hint="eastAsia"/>
          <w:sz w:val="20"/>
          <w:szCs w:val="20"/>
        </w:rPr>
        <w:t>의 주제를 제시하</w:t>
      </w:r>
      <w:r>
        <w:rPr>
          <w:rFonts w:ascii="NanumGothic" w:eastAsia="NanumGothic" w:hAnsi="NanumGothic" w:hint="eastAsia"/>
          <w:sz w:val="20"/>
          <w:szCs w:val="20"/>
        </w:rPr>
        <w:t xml:space="preserve">면서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정의,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인자,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겸손</w:t>
      </w:r>
      <w:r>
        <w:rPr>
          <w:rFonts w:ascii="NanumGothic" w:eastAsia="NanumGothic" w:hAnsi="NanumGothic"/>
          <w:sz w:val="20"/>
          <w:szCs w:val="20"/>
        </w:rPr>
        <w:t>’</w:t>
      </w:r>
      <w:r>
        <w:rPr>
          <w:rFonts w:ascii="NanumGothic" w:eastAsia="NanumGothic" w:hAnsi="NanumGothic" w:hint="eastAsia"/>
          <w:sz w:val="20"/>
          <w:szCs w:val="20"/>
        </w:rPr>
        <w:t>을 강조하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고 있다. 하나님은 우상숭배와 부정과 반역과 헛된 의식주의를 싫어하시나 (3:8-12), 회개하는 자들 용서하시기를 기뻐하신다 (7:18-19). 시온은 이전보다 더 큰 영광을 얻게 될 것이며 (4:1-2), 다윗의 왕국은 끝나지만 오실 구원자 메시야를 통해서 더 위대한 고지에 이를 것이다 (5:1-4). 주요 성구는 3:8-12, 5:1-4, 6:2, 6:8, 7:18-20등이다. </w:t>
      </w:r>
    </w:p>
    <w:p w14:paraId="6DE09366" w14:textId="77777777" w:rsidR="00032B14" w:rsidRPr="00AC4671" w:rsidRDefault="00032B14" w:rsidP="00032B1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5B839595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1. </w:t>
      </w:r>
      <w:r w:rsidRPr="00AC4671">
        <w:rPr>
          <w:rFonts w:ascii="NanumGothic" w:eastAsia="NanumGothic" w:hAnsi="NanumGothic" w:hint="eastAsia"/>
          <w:sz w:val="20"/>
          <w:szCs w:val="20"/>
        </w:rPr>
        <w:t>이스라엘과 유다의 심판과 회복</w:t>
      </w:r>
      <w:r w:rsidRPr="00AC4671">
        <w:rPr>
          <w:rFonts w:ascii="NanumGothic" w:eastAsia="NanumGothic" w:hAnsi="NanumGothic"/>
          <w:sz w:val="20"/>
          <w:szCs w:val="20"/>
        </w:rPr>
        <w:t xml:space="preserve"> (1-2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620E53C3" w14:textId="77777777" w:rsidR="00032B14" w:rsidRPr="00AC4671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이스라엘과 유다의 심판</w:t>
      </w:r>
      <w:r w:rsidRPr="00AC4671">
        <w:rPr>
          <w:rFonts w:ascii="NanumGothic" w:eastAsia="NanumGothic" w:hAnsi="NanumGothic"/>
          <w:sz w:val="20"/>
          <w:szCs w:val="20"/>
        </w:rPr>
        <w:t xml:space="preserve"> (1:2-</w:t>
      </w:r>
      <w:r w:rsidRPr="00AC4671">
        <w:rPr>
          <w:rFonts w:ascii="NanumGothic" w:eastAsia="NanumGothic" w:hAnsi="NanumGothic" w:hint="eastAsia"/>
          <w:sz w:val="20"/>
          <w:szCs w:val="20"/>
        </w:rPr>
        <w:t>2:11)</w:t>
      </w:r>
    </w:p>
    <w:p w14:paraId="5AB0497D" w14:textId="77777777" w:rsidR="00032B14" w:rsidRPr="00AC4671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남은 자의 회복</w:t>
      </w:r>
      <w:r w:rsidRPr="00AC4671">
        <w:rPr>
          <w:rFonts w:ascii="NanumGothic" w:eastAsia="NanumGothic" w:hAnsi="NanumGothic"/>
          <w:sz w:val="20"/>
          <w:szCs w:val="20"/>
        </w:rPr>
        <w:t xml:space="preserve"> (2:12-13)</w:t>
      </w:r>
    </w:p>
    <w:p w14:paraId="38001E99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2. </w:t>
      </w:r>
      <w:r w:rsidRPr="00AC4671">
        <w:rPr>
          <w:rFonts w:ascii="NanumGothic" w:eastAsia="NanumGothic" w:hAnsi="NanumGothic" w:hint="eastAsia"/>
          <w:sz w:val="20"/>
          <w:szCs w:val="20"/>
        </w:rPr>
        <w:t>유다 지도자들에 대한 고발 및 하나님의 백성에 대한 장래의 소망</w:t>
      </w:r>
      <w:r w:rsidRPr="00AC4671">
        <w:rPr>
          <w:rFonts w:ascii="NanumGothic" w:eastAsia="NanumGothic" w:hAnsi="NanumGothic"/>
          <w:sz w:val="20"/>
          <w:szCs w:val="20"/>
        </w:rPr>
        <w:t xml:space="preserve"> (3-5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7A2936B" w14:textId="77777777" w:rsidR="00032B14" w:rsidRPr="00AC4671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유다 지도자들에 대한 심판 (3장)</w:t>
      </w:r>
    </w:p>
    <w:p w14:paraId="32FE66C9" w14:textId="77777777" w:rsidR="00032B14" w:rsidRPr="00AC4671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예루살렘 회복의 약속과 성취 (4-5장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64B9EAAF" w14:textId="77777777" w:rsidR="00032B14" w:rsidRPr="00AC4671" w:rsidRDefault="00032B14" w:rsidP="00032B14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3. </w:t>
      </w:r>
      <w:r w:rsidRPr="00AC4671">
        <w:rPr>
          <w:rFonts w:ascii="NanumGothic" w:eastAsia="NanumGothic" w:hAnsi="NanumGothic" w:hint="eastAsia"/>
          <w:sz w:val="20"/>
          <w:szCs w:val="20"/>
        </w:rPr>
        <w:t>하나님의 백성에 대한 고발과 하나님의 나라의 궁극적 승리</w:t>
      </w:r>
      <w:r w:rsidRPr="00AC4671">
        <w:rPr>
          <w:rFonts w:ascii="NanumGothic" w:eastAsia="NanumGothic" w:hAnsi="NanumGothic"/>
          <w:sz w:val="20"/>
          <w:szCs w:val="20"/>
        </w:rPr>
        <w:t xml:space="preserve"> (6-7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4B6D2838" w14:textId="77777777" w:rsidR="00032B14" w:rsidRPr="00AC4671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가.이스라엘에 대한 고발 (6:1-</w:t>
      </w:r>
      <w:r w:rsidRPr="00AC4671">
        <w:rPr>
          <w:rFonts w:ascii="NanumGothic" w:eastAsia="NanumGothic" w:hAnsi="NanumGothic"/>
          <w:sz w:val="20"/>
          <w:szCs w:val="20"/>
        </w:rPr>
        <w:t>7:7)</w:t>
      </w:r>
    </w:p>
    <w:p w14:paraId="4701F612" w14:textId="69F399DA" w:rsidR="00032B14" w:rsidRPr="00032B14" w:rsidRDefault="00032B14" w:rsidP="00032B14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이스라엘의 회개와 회복 (7:8-20)</w:t>
      </w:r>
      <w:bookmarkStart w:id="0" w:name="_GoBack"/>
      <w:bookmarkEnd w:id="0"/>
    </w:p>
    <w:sectPr w:rsidR="00032B14" w:rsidRPr="0003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4"/>
    <w:rsid w:val="000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5187"/>
  <w15:chartTrackingRefBased/>
  <w15:docId w15:val="{BBA45794-7C3F-4B68-8102-E07C36B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1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32B14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2018-05-07T14:13:00Z</dcterms:created>
  <dcterms:modified xsi:type="dcterms:W3CDTF">2018-05-07T14:13:00Z</dcterms:modified>
</cp:coreProperties>
</file>